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Fly Creek Fire District Board of Fire Commissioners </w:t>
      </w:r>
    </w:p>
    <w:p w:rsidR="00000000" w:rsidDel="00000000" w:rsidP="00000000" w:rsidRDefault="00000000" w:rsidRPr="00000000" w14:paraId="00000002">
      <w:pPr>
        <w:jc w:val="center"/>
        <w:rPr/>
      </w:pPr>
      <w:r w:rsidDel="00000000" w:rsidR="00000000" w:rsidRPr="00000000">
        <w:rPr>
          <w:rtl w:val="0"/>
        </w:rPr>
        <w:t xml:space="preserve">Organization Meeting Agenda</w:t>
      </w:r>
    </w:p>
    <w:p w:rsidR="00000000" w:rsidDel="00000000" w:rsidP="00000000" w:rsidRDefault="00000000" w:rsidRPr="00000000" w14:paraId="00000003">
      <w:pPr>
        <w:jc w:val="center"/>
        <w:rPr/>
      </w:pPr>
      <w:r w:rsidDel="00000000" w:rsidR="00000000" w:rsidRPr="00000000">
        <w:rPr>
          <w:rtl w:val="0"/>
        </w:rPr>
        <w:t xml:space="preserve">January 15, 2026</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Present: Pam Deane (treasurer), Keith Dickison, Sam Hoskins (chairperson), Paul Kehoe, Cassidy Lent (secretary), Betty Staffin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Fire Company: Adam Kantor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Public: Claire Kepner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Meeting called to order by Pam Deane at 6:08pm</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Pledge of Allegiance recited</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Betty Staffin nominated Sam Hoskins as Chairperson, seconded by Keith Dickison; approved by all present commissioners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Pam Deane turned meeting over to Sam Hoskins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No vice chairperson elected</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Administering of Oath of Office for Sam Hoskins done prior to meeting</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Appointed Cassidy Lent as secretary; determined there is no conflict of interest and that any information that needs to be sent from the fire company to the district will be sent by the company president</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Appointed Meg Kiernan as deputy treasurer</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Oath of Office for secretary and deputy treasurer will be administered and filed by Sam Hoskins with the Clerk of Town before January 31, 2026, per town law 174(3) and Public Officer’s Law (30)</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Established salaries for district treasurer and secretary at $1,200 each </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D’Amato Law Group appointed legal advisor</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Official newspaper will be </w:t>
      </w:r>
      <w:r w:rsidDel="00000000" w:rsidR="00000000" w:rsidRPr="00000000">
        <w:rPr>
          <w:i w:val="1"/>
          <w:iCs w:val="1"/>
          <w:rtl w:val="0"/>
        </w:rPr>
        <w:t xml:space="preserve">The Daily Star</w:t>
      </w:r>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Monthly meetings will occur on the third Thursday of each month with bill review at 6:30pm and meeting at 7pm</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Budget hearing is set for the third Thursday in October, which is October 15, at 7pm</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Acknowledged procurement of treasurer’s and deputy treasurer’s bond/insurance to be $300,000 - direct the filing of copy of the bond or declaration page of insurance policy with town clerk</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Official depository will be Wayne Bank and NYCLASS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Will not be establishing committees, but will do as needed</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Treasurer and deputy treasurer have permission to pay fuel, lights, wages, postage, telephone, internet, and gas/diesel every month and present with vouchers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Treasurer to submit AFR to Commissioners within 60 days after the end of the fiscal year</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Adopted section 104-B of the General Municipal Law regarding District purchasing practices, including recommendations from NYS Comptrollers Audit report</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Approved mileage reimbursement at the approved IRS rates throughout the year, currently at $.72.5/mile</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Authorized defense and indemnifications of Commissioners, District employees, and District volunteers pursuant to Public Officers Law (18)</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Designated the Fly Creek Volunteer Fire Company as the firefighting force for the District and the District as the authority having the jurisdiction</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Approved mutual aid agreements to be arranged by the Chief or designee</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Authorized defense and indemnification of District volunteer firefighters pursuant to General Municipal Law (205-g)</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Decided not to a</w:t>
      </w:r>
      <w:r w:rsidDel="00000000" w:rsidR="00000000" w:rsidRPr="00000000">
        <w:rPr>
          <w:rtl w:val="0"/>
        </w:rPr>
        <w:t xml:space="preserve">ppoint accountant at this time</w:t>
      </w: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Designated secretary as District records/FOIL officer</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Adopted LGS-1 (as modified) as the record retention policy of the District</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Designated sign board as the public location to be used for the posting of open meeting law notices </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Approved of membership in the associations including FASNY, NYSAFC, AFDSNY, and any other associations the Board deems appropriate to carry out business</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Reviewed, renewed, and re-adopted existing leases and contracts with Harbor Point Energy and Kinsley</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Re-adopted all existing policies and will adopt new policies as warranted</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Declared that the annual review of workplace violence policy and incident (if any) was conducted pursuant to 10 NYCRR 806 (i)(5) and there were no such reports for the previous year</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Authorized the use of Fire District equipment and apparatus for use at parades, wakes, fire prevention details, and other events upon approval of the Chief or his or her designee </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Acknowledged that the District has obtained enhanced cancer disability benefits required under General Municipal Law 205-cc by either the procurement of an approved insurance policy or by showing proof in writing that the District agrees to fund all eligible claims through revenues</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Declared that official records of the district will be maintained in paper form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Motion to approve all above mentioned appointments, designations, approvals, and acts made by Paul Kehoe, seconded by Betty Staffin; approved by all present commissioners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Motion to close organizational meeting made by Sam Hoskins, seconded by Betty Staffin; approved by all present commissioners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Respectfully submitted,</w:t>
      </w:r>
    </w:p>
    <w:p w:rsidR="00000000" w:rsidDel="00000000" w:rsidP="00000000" w:rsidRDefault="00000000" w:rsidRPr="00000000" w14:paraId="00000035">
      <w:pPr>
        <w:rPr/>
      </w:pPr>
      <w:r w:rsidDel="00000000" w:rsidR="00000000" w:rsidRPr="00000000">
        <w:rPr>
          <w:rtl w:val="0"/>
        </w:rPr>
        <w:t xml:space="preserve">C. Lent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